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EBC28" w14:textId="7F63D533" w:rsidR="002A34A0" w:rsidRDefault="002A34A0">
      <w:pPr>
        <w:pStyle w:val="Altyaz"/>
      </w:pPr>
    </w:p>
    <w:p w14:paraId="03D6FCE3" w14:textId="77777777" w:rsidR="002A34A0" w:rsidRDefault="005067C8">
      <w:r>
        <w:t>Kurum içi, kurumlar arası ve yurt dışından yatay geçiş başvuruları UBYS üzerinden ilgili akademik birime yapılır. Öğrenci İşleri Daire Başkanlığı, başvurular başlamadan önce Senatodan geçen kontenjanları, şartları ve takvimi UBYS’ye tanımlayarak sistemi başvuruya hazırlar. Ek Madde 1 kapsamındaki merkezi yerleştirme puanıyla yatay geçiş bu rehbere dahil değildir.</w:t>
      </w:r>
    </w:p>
    <w:p w14:paraId="69B033FB" w14:textId="77777777" w:rsidR="002A34A0" w:rsidRDefault="005067C8">
      <w:pPr>
        <w:pStyle w:val="Balk1"/>
      </w:pPr>
      <w:r>
        <w:t>1 Başvuru öncesinde yapılacak işlemler</w:t>
      </w:r>
    </w:p>
    <w:p w14:paraId="27C701C5" w14:textId="77777777" w:rsidR="002A34A0" w:rsidRDefault="005067C8">
      <w:r>
        <w:rPr>
          <w:b/>
        </w:rPr>
        <w:t xml:space="preserve">1. </w:t>
      </w:r>
      <w:r>
        <w:t>İlgili akademik birimler, açılacak programlar ile sınıf veya yarıyıl bazındaki kontenjan önerilerini ve gerekli kurul kararlarını Öğrenci İşleri Daire Başkanlığına gönderir.</w:t>
      </w:r>
    </w:p>
    <w:p w14:paraId="189BB763" w14:textId="77777777" w:rsidR="002A34A0" w:rsidRDefault="005067C8">
      <w:r>
        <w:rPr>
          <w:b/>
        </w:rPr>
        <w:t xml:space="preserve">2. </w:t>
      </w:r>
      <w:r>
        <w:t>Daire Başkanlığı, kontenjan ve şartları yürürlükteki YÖK düzenlemeleri yönünden kontrol eder; başvuru, değerlendirme, sonuç ilanı, asıl ve yedek kayıt tarihlerini içeren takvimi hazırlar. Üniversitedeki Senato süreci tamamlanır. Kurumlar arası geçişlerde YÖK tarafından yayımlanan kontenjan ve takvimle uyum sağlanır.</w:t>
      </w:r>
    </w:p>
    <w:p w14:paraId="28D71C1F" w14:textId="77777777" w:rsidR="002A34A0" w:rsidRDefault="005067C8">
      <w:r>
        <w:rPr>
          <w:b/>
        </w:rPr>
        <w:t xml:space="preserve">3. </w:t>
      </w:r>
      <w:r>
        <w:t>Daire Başkanlığı, onaylanan bilgileri UBYS’ye program ve geçiş türü bazında girer. Başlangıç ve bitiş tarihleri ile saatleri, sınıf veya yarıyıl, kontenjan, başvuru koşulları ve istenecek belgeler tanımlanır. Değerlendirme için ilgili akademik birimlerin erişimleri kontrol edilir.</w:t>
      </w:r>
    </w:p>
    <w:p w14:paraId="5F5E8BDB" w14:textId="77777777" w:rsidR="002A34A0" w:rsidRDefault="005067C8">
      <w:r>
        <w:rPr>
          <w:b/>
        </w:rPr>
        <w:t xml:space="preserve">4. </w:t>
      </w:r>
      <w:r>
        <w:t>Başvuru ekranındaki bilgiler ile Senato kararı ve ilan metni karşılaştırılır. Program seçimi, belge yükleme ve başvuruyu tamamlama adımları kontrol edilerek sistem ilan edilen tarihte başvuruya açılır.</w:t>
      </w:r>
    </w:p>
    <w:p w14:paraId="49282C0C" w14:textId="77777777" w:rsidR="002A34A0" w:rsidRDefault="005067C8">
      <w:r>
        <w:rPr>
          <w:b/>
        </w:rPr>
        <w:t xml:space="preserve">5. </w:t>
      </w:r>
      <w:r>
        <w:t>Kontenjanlar, koşullar, başvuru bağlantısı, belgeler ve takvim Üniversitenin internet sayfasında duyurulur. Kurum içi geçiş ilanında Yönetmeliğin 9 uncu maddesindeki taban puan bilgilerine yer verilir ve ilan son başvuru tarihinden en az 15 gün önce yayımlanır.</w:t>
      </w:r>
    </w:p>
    <w:p w14:paraId="252E99E2" w14:textId="77777777" w:rsidR="002A34A0" w:rsidRDefault="005067C8">
      <w:pPr>
        <w:pStyle w:val="Balk1"/>
      </w:pPr>
      <w:r>
        <w:t>2 Başvuruların alınması</w:t>
      </w:r>
    </w:p>
    <w:p w14:paraId="07D23E8F" w14:textId="77777777" w:rsidR="002A34A0" w:rsidRDefault="005067C8">
      <w:r>
        <w:rPr>
          <w:b/>
        </w:rPr>
        <w:t xml:space="preserve">1. </w:t>
      </w:r>
      <w:r>
        <w:t>Öğrenci, ilan edilen süre içinde UBYS üzerinden başvuracağı geçiş türünü ve programı seçer; bilgilerini doldurur, belgelerini yükler ve başvurusunu tamamlar.</w:t>
      </w:r>
    </w:p>
    <w:p w14:paraId="27B6A40E" w14:textId="77777777" w:rsidR="002A34A0" w:rsidRDefault="005067C8">
      <w:r>
        <w:rPr>
          <w:b/>
        </w:rPr>
        <w:t xml:space="preserve">2. </w:t>
      </w:r>
      <w:r>
        <w:t>İlgili akademik birim başvuruları UBYS üzerinden alır ve takip eder. Başvuru süresi, tamamlanma durumu, seçilen program ve belgelerin okunabilirliği kontrol edilir. Belge eksikliği veya düzeltme işlemleri ilan edilen kurallara göre yürütülür.</w:t>
      </w:r>
    </w:p>
    <w:p w14:paraId="24C07817" w14:textId="77777777" w:rsidR="002A34A0" w:rsidRDefault="005067C8">
      <w:r>
        <w:rPr>
          <w:b/>
        </w:rPr>
        <w:t xml:space="preserve">3. </w:t>
      </w:r>
      <w:r>
        <w:t>Sistemle ilgili sorunlar Daire Başkanlığına iletilir. Başvuru dosyasının uygunluğu ve akademik değerlendirmesi ilgili akademik birim tarafından yürütülür. Süre sona erdiğinde başvurular kapatılır ve değerlendirmeye alınacak dosyalar belirlenir.</w:t>
      </w:r>
    </w:p>
    <w:p w14:paraId="06CBDD61" w14:textId="77777777" w:rsidR="002A34A0" w:rsidRDefault="005067C8">
      <w:r>
        <w:br w:type="page"/>
      </w:r>
    </w:p>
    <w:p w14:paraId="55F88F9B" w14:textId="77777777" w:rsidR="002A34A0" w:rsidRDefault="005067C8">
      <w:pPr>
        <w:pStyle w:val="Balk1"/>
      </w:pPr>
      <w:r>
        <w:lastRenderedPageBreak/>
        <w:t>3 Akademik birimin yapacağı kontroller</w:t>
      </w:r>
    </w:p>
    <w:p w14:paraId="3BA9FE15" w14:textId="77777777" w:rsidR="002A34A0" w:rsidRDefault="005067C8">
      <w:r>
        <w:t>İlgili yönetim kurulunca oluşturulan komisyon, başvuru belgelerini YÖK Yönetmeliği, Üniversitenin yürürlükteki düzenlemeleri ve ilan edilen Senato koşulları üzerinden inceler. Her aday için uygunluk veya ret gerekçesi kaydedilir.</w:t>
      </w:r>
    </w:p>
    <w:p w14:paraId="03853E21" w14:textId="77777777" w:rsidR="002A34A0" w:rsidRDefault="005067C8">
      <w:r>
        <w:rPr>
          <w:b/>
        </w:rPr>
        <w:t xml:space="preserve">1. </w:t>
      </w:r>
      <w:r>
        <w:t>Öğrenci belgesi, transkript, ÖSYM sonuç ve yerleştirme belgeleri, ders içerikleri ve ilanda istenen diğer belgeler kontrol edilir. Belgelerdeki öğrenci, program, kayıt yılı, sınıf ve not bilgileri karşılaştırılır.</w:t>
      </w:r>
    </w:p>
    <w:p w14:paraId="29AD2AF1" w14:textId="77777777" w:rsidR="002A34A0" w:rsidRDefault="005067C8">
      <w:r>
        <w:rPr>
          <w:b/>
        </w:rPr>
        <w:t xml:space="preserve">2. </w:t>
      </w:r>
      <w:r>
        <w:t>Hazırlık sınıfına; önlisansın ilk ve son yarıyılına, lisansın ilk iki ve son iki yarıyılına geçiş yapılmaz. Bulunulan sınıftan daha alt sınıfa başvuru kabul edilmez. Kayıt dondurma tek başına engel değildir.</w:t>
      </w:r>
    </w:p>
    <w:p w14:paraId="735526CE" w14:textId="77777777" w:rsidR="002A34A0" w:rsidRDefault="005067C8">
      <w:r>
        <w:rPr>
          <w:b/>
        </w:rPr>
        <w:t xml:space="preserve">3. </w:t>
      </w:r>
      <w:r>
        <w:t>Kurumlar arası geçişte aynı düzeyde eşdeğer program şartı ve en az 60/100 genel not ortalaması aranır. Ortalaması yetersiz olup hedef programın taban puanını karşılayanlar Yönetmeliğin 11 inci maddesinin üçüncü fıkrasına göre incelenir; bu başvuru Ek Madde 1 başvurusu olarak değerlendirilmez.</w:t>
      </w:r>
    </w:p>
    <w:p w14:paraId="24BEA313" w14:textId="77777777" w:rsidR="002A34A0" w:rsidRDefault="005067C8">
      <w:r>
        <w:rPr>
          <w:b/>
        </w:rPr>
        <w:t xml:space="preserve">4. </w:t>
      </w:r>
      <w:r>
        <w:t>Kurum içi geçişte aynı düzey, ilan edilen koşullar ve Yönetmeliğin 9 uncu maddesindeki puan şartı kontrol edilir. Öğrencinin ilgili puanı, sınava girdiği yıl hedef programa eşdeğer yurt içi programların en düşük taban puanından az olamaz. Özel yetenekle öğrenci alan programlarda yetenek sınavı şartı ayrıca uygulanır.</w:t>
      </w:r>
    </w:p>
    <w:p w14:paraId="4082DBA8" w14:textId="77777777" w:rsidR="002A34A0" w:rsidRDefault="005067C8">
      <w:r>
        <w:rPr>
          <w:b/>
        </w:rPr>
        <w:t xml:space="preserve">5. </w:t>
      </w:r>
      <w:r>
        <w:t>Tamamen veya kısmen yabancı dille eğitim veren programlarda yabancı dil yeterliği başvuru sırasında belgelenmelidir. Yurt içindeki açık veya uzaktan öğretimden örgün öğretime geçişte 90/100 ortalama veya ilgili yıl hedef programın taban puanını karşılama şartı kontrol edilir.</w:t>
      </w:r>
    </w:p>
    <w:p w14:paraId="77318801" w14:textId="77777777" w:rsidR="002A34A0" w:rsidRDefault="005067C8">
      <w:pPr>
        <w:pStyle w:val="Balk1"/>
      </w:pPr>
      <w:r>
        <w:t>4 Yurt dışı ve özel durum başvuruları</w:t>
      </w:r>
    </w:p>
    <w:p w14:paraId="423B959C" w14:textId="77777777" w:rsidR="002A34A0" w:rsidRDefault="005067C8">
      <w:r>
        <w:t>Yurt dışı başvurularında kurum ve programın YÖK tarafından tanınması, program eşdeğerliği, başarı ve sınav koşulları ile kontenjan kuralları Yönetmeliğin 14 üncü maddesine göre ayrıca incelenir. Öğrenim görülen ülkede bulunma resmî belgeyle doğrulanır. Yurt dışındaki devam zorunluluğu bulunmayan açık veya uzaktan programlardan yurt içindeki örgün programlara başvuru alınmaz.</w:t>
      </w:r>
    </w:p>
    <w:p w14:paraId="02E75645" w14:textId="77777777" w:rsidR="002A34A0" w:rsidRDefault="005067C8">
      <w:r>
        <w:t>Başarı sıralaması şartı olan programlar, farklı öğretim türleri ve kontenjan dışı değerlendirme gerektiren durumlar için ilgili Yönetmelik maddeleri ve güncel YÖK kararları ayrıca kontrol edilir. Yönetmeliğin 13 ve 24 üncü maddelerine dayanan başvurularda özel koşullar doğrulanarak dosya ilgili komisyona sunulur.</w:t>
      </w:r>
    </w:p>
    <w:p w14:paraId="7FE54B50" w14:textId="77777777" w:rsidR="002A34A0" w:rsidRDefault="005067C8">
      <w:pPr>
        <w:pStyle w:val="Balk1"/>
      </w:pPr>
      <w:r>
        <w:t>5 Başvuruların değerlendirilmesi</w:t>
      </w:r>
    </w:p>
    <w:p w14:paraId="1A872963" w14:textId="2D4DC5AB" w:rsidR="002A34A0" w:rsidRDefault="005067C8">
      <w:r>
        <w:rPr>
          <w:b/>
        </w:rPr>
        <w:t xml:space="preserve">1. </w:t>
      </w:r>
      <w:r>
        <w:t>Komisyon, uygun başvuruların değerlendirme puanını Senatonun ilan edilen ölçütlerine göre hesaplar. Genel not ortalaması ile ilgili yıl ve puan türündeki ÖSYS/YKS puanı kullanılır; merkezi yerleştirme puanının değerlendirmedeki ağırlığı yüzde 5</w:t>
      </w:r>
      <w:r w:rsidR="00B07C6A">
        <w:t>0</w:t>
      </w:r>
      <w:r>
        <w:t xml:space="preserve"> olarak uygulanır. Not dönüşümünde YÖK tablosu esas alınır.</w:t>
      </w:r>
    </w:p>
    <w:p w14:paraId="4E4B85F8" w14:textId="77777777" w:rsidR="002A34A0" w:rsidRDefault="005067C8">
      <w:r>
        <w:rPr>
          <w:b/>
        </w:rPr>
        <w:t xml:space="preserve">2. </w:t>
      </w:r>
      <w:r>
        <w:t>Puanlar ve sıralama kontrol edilerek komisyon tutanağı hazırlanır. Uygun bulunmayan başvurular gerekçeleriyle gösterilir. Eşit puanlarda ilan edilmiş ölçüt uygulanır; değerlendirme sırasında yeni bir koşul veya sıralama ölçütü oluşturulmaz.</w:t>
      </w:r>
    </w:p>
    <w:p w14:paraId="425F4E1D" w14:textId="77777777" w:rsidR="002A34A0" w:rsidRDefault="005067C8">
      <w:r>
        <w:br w:type="page"/>
      </w:r>
    </w:p>
    <w:p w14:paraId="5D449243" w14:textId="77777777" w:rsidR="002A34A0" w:rsidRDefault="005067C8">
      <w:pPr>
        <w:pStyle w:val="Balk1"/>
      </w:pPr>
      <w:r>
        <w:lastRenderedPageBreak/>
        <w:t>6 Karar ve sonuçların ilanı</w:t>
      </w:r>
    </w:p>
    <w:p w14:paraId="2AAC0B7A" w14:textId="77777777" w:rsidR="002A34A0" w:rsidRDefault="005067C8">
      <w:r>
        <w:rPr>
          <w:b/>
        </w:rPr>
        <w:t xml:space="preserve">1. </w:t>
      </w:r>
      <w:r>
        <w:t>Komisyonun değerlendirme sonuçları ilgili akademik birimin yönetim kuruluna sunulur. Kabul ve yerleştirme işlemleri yönetim kurulu kararıyla kesinleştirilir.</w:t>
      </w:r>
    </w:p>
    <w:p w14:paraId="254119D1" w14:textId="77777777" w:rsidR="002A34A0" w:rsidRDefault="005067C8">
      <w:r>
        <w:rPr>
          <w:b/>
        </w:rPr>
        <w:t xml:space="preserve">2. </w:t>
      </w:r>
      <w:r>
        <w:t>Yeterli uygun aday varsa aynı sayıda asıl ve yedek aday belirlenir. Sonuçlar değerlendirme puanına göre sıralanarak internet sayfasında ilan edilir. Akademik birim, yönetim kurulu kararı ile sonuç listelerini Daire Başkanlığına gönderir ve UBYS sonuç kayıtlarının kararla uyumunu kontrol eder.</w:t>
      </w:r>
    </w:p>
    <w:p w14:paraId="4D88403D" w14:textId="77777777" w:rsidR="002A34A0" w:rsidRDefault="005067C8">
      <w:r>
        <w:rPr>
          <w:b/>
        </w:rPr>
        <w:t xml:space="preserve">3. </w:t>
      </w:r>
      <w:r>
        <w:t>Duyuruda kesin kayıt tarihleri, istenen belgeler ve yedek kayıt işlemleri belirtilir. Varsa itirazlar ilan edilen usule göre ilgili akademik birim tarafından incelenir; sonucu etkileyen düzeltmeler kurul kararıyla kayıt altına alınarak duyurulur.</w:t>
      </w:r>
    </w:p>
    <w:p w14:paraId="7F1551C7" w14:textId="77777777" w:rsidR="002A34A0" w:rsidRDefault="005067C8">
      <w:pPr>
        <w:pStyle w:val="Balk1"/>
      </w:pPr>
      <w:r>
        <w:t>7 Kesin kayıt ve intibak</w:t>
      </w:r>
    </w:p>
    <w:p w14:paraId="6FEF3587" w14:textId="77777777" w:rsidR="002A34A0" w:rsidRDefault="005067C8">
      <w:r>
        <w:rPr>
          <w:b/>
        </w:rPr>
        <w:t xml:space="preserve">1. </w:t>
      </w:r>
      <w:r>
        <w:t>Asıl adayların kesin kayıtları ilan edilen süre içinde, kabul kararı ve belgeleri kontrol edilerek yetkili öğrenci işleri personelince yapılır. Kayıt yaptırmayanların yerine yedek adaylar sıraları korunarak çağrılır. Kayıt hakkını kullanmayanlar ve boş kontenjanlar kaydedilir.</w:t>
      </w:r>
    </w:p>
    <w:p w14:paraId="46E56E29" w14:textId="77777777" w:rsidR="002A34A0" w:rsidRDefault="005067C8">
      <w:r>
        <w:rPr>
          <w:b/>
        </w:rPr>
        <w:t xml:space="preserve">2. </w:t>
      </w:r>
      <w:r>
        <w:t>Akademik birimin ilgili komisyonu, önceki dersleri değerlendirir; muafiyetleri, alınacak dersleri ve intibak edilecek sınıf veya yarıyılı belirler. İntibak kararı ilgili yönetim kurulunda alınır ve UBYS’ye işlenir. İşlemler öğrencinin diğer öğrencilerle birlikte derslere başlamasını sağlayacak zamanda tamamlanır.</w:t>
      </w:r>
    </w:p>
    <w:p w14:paraId="6ABFE6F2" w14:textId="77777777" w:rsidR="002A34A0" w:rsidRDefault="005067C8">
      <w:r>
        <w:rPr>
          <w:b/>
        </w:rPr>
        <w:t xml:space="preserve">3. </w:t>
      </w:r>
      <w:r>
        <w:t>Akademik birim, kesin kayıt ve intibak bilgilerini Daire Başkanlığına bildirir. Daire Başkanlığı, işlemler kesinleştikten sonra en geç 15 gün içinde YÖKSİS kaydını yapar ve UBYS ile YÖKSİS bilgilerinin uyumunu kontrol eder.</w:t>
      </w:r>
    </w:p>
    <w:p w14:paraId="5F0BB9C3" w14:textId="77777777" w:rsidR="002A34A0" w:rsidRDefault="005067C8">
      <w:r>
        <w:rPr>
          <w:b/>
        </w:rPr>
        <w:t xml:space="preserve">4. </w:t>
      </w:r>
      <w:r>
        <w:t>Öğrencinin önceki kurumuyla dosya ve kayıt aktarımına ilişkin yazışmalar tamamlanır. Danışman ve ders kaydı işlemleri akademik birimce takip edilir. Kabul, ret, kayıt ve intibak belgeleri ilgili dosyada saklanır.</w:t>
      </w:r>
    </w:p>
    <w:p w14:paraId="5FE26499" w14:textId="77777777" w:rsidR="002A34A0" w:rsidRDefault="005067C8">
      <w:pPr>
        <w:pStyle w:val="Balk1"/>
      </w:pPr>
      <w:r>
        <w:t>8 Görevlerin kısa özeti</w:t>
      </w:r>
    </w:p>
    <w:tbl>
      <w:tblPr>
        <w:tblW w:w="0" w:type="auto"/>
        <w:tblLayout w:type="fixed"/>
        <w:tblLook w:val="04A0" w:firstRow="1" w:lastRow="0" w:firstColumn="1" w:lastColumn="0" w:noHBand="0" w:noVBand="1"/>
      </w:tblPr>
      <w:tblGrid>
        <w:gridCol w:w="4213"/>
        <w:gridCol w:w="5923"/>
      </w:tblGrid>
      <w:tr w:rsidR="002A34A0" w14:paraId="33138044" w14:textId="77777777" w:rsidTr="00B07C6A">
        <w:trPr>
          <w:trHeight w:val="420"/>
        </w:trPr>
        <w:tc>
          <w:tcPr>
            <w:tcW w:w="4213" w:type="dxa"/>
            <w:tcBorders>
              <w:top w:val="single" w:sz="4" w:space="0" w:color="D9D9D9"/>
              <w:left w:val="single" w:sz="4" w:space="0" w:color="D9D9D9"/>
              <w:bottom w:val="single" w:sz="4" w:space="0" w:color="D9D9D9"/>
              <w:right w:val="single" w:sz="4" w:space="0" w:color="D9D9D9"/>
            </w:tcBorders>
          </w:tcPr>
          <w:p w14:paraId="0B3A3DF7" w14:textId="77777777" w:rsidR="002A34A0" w:rsidRDefault="005067C8">
            <w:pPr>
              <w:spacing w:before="80" w:after="80"/>
            </w:pPr>
            <w:r>
              <w:rPr>
                <w:b/>
                <w:sz w:val="20"/>
              </w:rPr>
              <w:t>Sorumlu</w:t>
            </w:r>
          </w:p>
        </w:tc>
        <w:tc>
          <w:tcPr>
            <w:tcW w:w="5923" w:type="dxa"/>
            <w:tcBorders>
              <w:top w:val="single" w:sz="4" w:space="0" w:color="D9D9D9"/>
              <w:left w:val="single" w:sz="4" w:space="0" w:color="D9D9D9"/>
              <w:bottom w:val="single" w:sz="4" w:space="0" w:color="D9D9D9"/>
              <w:right w:val="single" w:sz="4" w:space="0" w:color="D9D9D9"/>
            </w:tcBorders>
          </w:tcPr>
          <w:p w14:paraId="5467F449" w14:textId="77777777" w:rsidR="002A34A0" w:rsidRDefault="005067C8">
            <w:pPr>
              <w:spacing w:before="80" w:after="80"/>
            </w:pPr>
            <w:r>
              <w:rPr>
                <w:b/>
                <w:sz w:val="20"/>
              </w:rPr>
              <w:t>Yapılacak işlem</w:t>
            </w:r>
          </w:p>
        </w:tc>
      </w:tr>
      <w:tr w:rsidR="002A34A0" w14:paraId="5DD923DB" w14:textId="77777777" w:rsidTr="00B07C6A">
        <w:trPr>
          <w:trHeight w:val="695"/>
        </w:trPr>
        <w:tc>
          <w:tcPr>
            <w:tcW w:w="4213" w:type="dxa"/>
            <w:tcBorders>
              <w:top w:val="single" w:sz="4" w:space="0" w:color="D9D9D9"/>
              <w:left w:val="single" w:sz="4" w:space="0" w:color="D9D9D9"/>
              <w:bottom w:val="single" w:sz="4" w:space="0" w:color="D9D9D9"/>
              <w:right w:val="single" w:sz="4" w:space="0" w:color="D9D9D9"/>
            </w:tcBorders>
          </w:tcPr>
          <w:p w14:paraId="0E2C9230" w14:textId="77777777" w:rsidR="002A34A0" w:rsidRDefault="005067C8">
            <w:pPr>
              <w:spacing w:before="80" w:after="80"/>
            </w:pPr>
            <w:r>
              <w:rPr>
                <w:sz w:val="20"/>
              </w:rPr>
              <w:t>Öğrenci İşleri Daire Başkanlığı</w:t>
            </w:r>
          </w:p>
        </w:tc>
        <w:tc>
          <w:tcPr>
            <w:tcW w:w="5923" w:type="dxa"/>
            <w:tcBorders>
              <w:top w:val="single" w:sz="4" w:space="0" w:color="D9D9D9"/>
              <w:left w:val="single" w:sz="4" w:space="0" w:color="D9D9D9"/>
              <w:bottom w:val="single" w:sz="4" w:space="0" w:color="D9D9D9"/>
              <w:right w:val="single" w:sz="4" w:space="0" w:color="D9D9D9"/>
            </w:tcBorders>
          </w:tcPr>
          <w:p w14:paraId="5EF0FAFA" w14:textId="77777777" w:rsidR="002A34A0" w:rsidRDefault="005067C8">
            <w:pPr>
              <w:spacing w:before="80" w:after="80"/>
            </w:pPr>
            <w:r>
              <w:rPr>
                <w:sz w:val="20"/>
              </w:rPr>
              <w:t>Senato sürecini takip etme, kontenjan ve takvim koordinasyonu, UBYS tanımları, sistemi başvuruya hazırlama ve YÖKSİS işlemleri.</w:t>
            </w:r>
          </w:p>
        </w:tc>
      </w:tr>
      <w:tr w:rsidR="002A34A0" w14:paraId="008EF439" w14:textId="77777777" w:rsidTr="00B07C6A">
        <w:trPr>
          <w:trHeight w:val="679"/>
        </w:trPr>
        <w:tc>
          <w:tcPr>
            <w:tcW w:w="4213" w:type="dxa"/>
            <w:tcBorders>
              <w:top w:val="single" w:sz="4" w:space="0" w:color="D9D9D9"/>
              <w:left w:val="single" w:sz="4" w:space="0" w:color="D9D9D9"/>
              <w:bottom w:val="single" w:sz="4" w:space="0" w:color="D9D9D9"/>
              <w:right w:val="single" w:sz="4" w:space="0" w:color="D9D9D9"/>
            </w:tcBorders>
          </w:tcPr>
          <w:p w14:paraId="6E417CFF" w14:textId="77777777" w:rsidR="002A34A0" w:rsidRDefault="005067C8">
            <w:pPr>
              <w:spacing w:before="80" w:after="80"/>
            </w:pPr>
            <w:r>
              <w:rPr>
                <w:sz w:val="20"/>
              </w:rPr>
              <w:t>İlgili akademik birim</w:t>
            </w:r>
          </w:p>
        </w:tc>
        <w:tc>
          <w:tcPr>
            <w:tcW w:w="5923" w:type="dxa"/>
            <w:tcBorders>
              <w:top w:val="single" w:sz="4" w:space="0" w:color="D9D9D9"/>
              <w:left w:val="single" w:sz="4" w:space="0" w:color="D9D9D9"/>
              <w:bottom w:val="single" w:sz="4" w:space="0" w:color="D9D9D9"/>
              <w:right w:val="single" w:sz="4" w:space="0" w:color="D9D9D9"/>
            </w:tcBorders>
          </w:tcPr>
          <w:p w14:paraId="616526D0" w14:textId="77777777" w:rsidR="002A34A0" w:rsidRDefault="005067C8">
            <w:pPr>
              <w:spacing w:before="80" w:after="80"/>
            </w:pPr>
            <w:r>
              <w:rPr>
                <w:sz w:val="20"/>
              </w:rPr>
              <w:t>UBYS başvurularını alma ve inceleme, komisyon değerlendirmesi, yönetim kurulu kararı, sonuç ve kayıt takibi, muafiyet ve intibak işlemleri.</w:t>
            </w:r>
          </w:p>
        </w:tc>
      </w:tr>
    </w:tbl>
    <w:p w14:paraId="073BEF73" w14:textId="77777777" w:rsidR="00B62D36" w:rsidRDefault="00B62D36"/>
    <w:sectPr w:rsidR="00B62D36"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941C5" w14:textId="77777777" w:rsidR="00B30848" w:rsidRDefault="00B30848">
      <w:pPr>
        <w:spacing w:after="0" w:line="240" w:lineRule="auto"/>
      </w:pPr>
      <w:r>
        <w:separator/>
      </w:r>
    </w:p>
  </w:endnote>
  <w:endnote w:type="continuationSeparator" w:id="0">
    <w:p w14:paraId="398E4224" w14:textId="77777777" w:rsidR="00B30848" w:rsidRDefault="00B30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2EF0" w14:textId="77777777" w:rsidR="002C40CB" w:rsidRDefault="002C40C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2959" w14:textId="77777777" w:rsidR="002A34A0" w:rsidRDefault="005067C8">
    <w:pPr>
      <w:pStyle w:val="AltBilgi"/>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BE55" w14:textId="77777777" w:rsidR="002C40CB" w:rsidRDefault="002C40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81489" w14:textId="77777777" w:rsidR="00B30848" w:rsidRDefault="00B30848">
      <w:pPr>
        <w:spacing w:after="0" w:line="240" w:lineRule="auto"/>
      </w:pPr>
      <w:r>
        <w:separator/>
      </w:r>
    </w:p>
  </w:footnote>
  <w:footnote w:type="continuationSeparator" w:id="0">
    <w:p w14:paraId="6E92C717" w14:textId="77777777" w:rsidR="00B30848" w:rsidRDefault="00B30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12C7" w14:textId="77777777" w:rsidR="002C40CB" w:rsidRDefault="002C40C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7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5433"/>
      <w:gridCol w:w="1701"/>
      <w:gridCol w:w="1984"/>
    </w:tblGrid>
    <w:tr w:rsidR="00E52CCD" w:rsidRPr="00A16D0B" w14:paraId="463E0249" w14:textId="77777777" w:rsidTr="00216464">
      <w:trPr>
        <w:trHeight w:val="419"/>
      </w:trPr>
      <w:tc>
        <w:tcPr>
          <w:tcW w:w="1826" w:type="dxa"/>
          <w:vMerge w:val="restart"/>
          <w:tcBorders>
            <w:top w:val="single" w:sz="6" w:space="0" w:color="000000"/>
            <w:left w:val="single" w:sz="6" w:space="0" w:color="000000"/>
            <w:bottom w:val="single" w:sz="6" w:space="0" w:color="000000"/>
            <w:right w:val="single" w:sz="6" w:space="0" w:color="000000"/>
          </w:tcBorders>
        </w:tcPr>
        <w:p w14:paraId="5B9DD4AC" w14:textId="77777777" w:rsidR="00E52CCD" w:rsidRPr="00A16D0B" w:rsidRDefault="00E52CCD" w:rsidP="00E52CCD">
          <w:pPr>
            <w:pStyle w:val="stBilgi"/>
            <w:rPr>
              <w:rFonts w:cs="Times New Roman"/>
              <w:sz w:val="24"/>
              <w:szCs w:val="28"/>
            </w:rPr>
          </w:pPr>
        </w:p>
        <w:p w14:paraId="50F4A23A" w14:textId="77777777" w:rsidR="00E52CCD" w:rsidRPr="00A16D0B" w:rsidRDefault="00E52CCD" w:rsidP="00E52CCD">
          <w:pPr>
            <w:pStyle w:val="stBilgi"/>
            <w:rPr>
              <w:rFonts w:cs="Times New Roman"/>
              <w:sz w:val="24"/>
              <w:szCs w:val="28"/>
            </w:rPr>
          </w:pPr>
          <w:r w:rsidRPr="00A16D0B">
            <w:rPr>
              <w:rFonts w:cs="Times New Roman"/>
              <w:noProof/>
              <w:sz w:val="24"/>
              <w:szCs w:val="28"/>
            </w:rPr>
            <w:drawing>
              <wp:inline distT="0" distB="0" distL="0" distR="0" wp14:anchorId="017DED1F" wp14:editId="56FE666C">
                <wp:extent cx="790575" cy="866775"/>
                <wp:effectExtent l="0" t="0" r="9525" b="9525"/>
                <wp:docPr id="158005465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66775"/>
                        </a:xfrm>
                        <a:prstGeom prst="rect">
                          <a:avLst/>
                        </a:prstGeom>
                        <a:noFill/>
                        <a:ln>
                          <a:noFill/>
                        </a:ln>
                      </pic:spPr>
                    </pic:pic>
                  </a:graphicData>
                </a:graphic>
              </wp:inline>
            </w:drawing>
          </w:r>
        </w:p>
      </w:tc>
      <w:tc>
        <w:tcPr>
          <w:tcW w:w="5433" w:type="dxa"/>
          <w:vMerge w:val="restart"/>
          <w:tcBorders>
            <w:top w:val="single" w:sz="6" w:space="0" w:color="000000"/>
            <w:left w:val="single" w:sz="6" w:space="0" w:color="000000"/>
            <w:right w:val="single" w:sz="6" w:space="0" w:color="000000"/>
          </w:tcBorders>
          <w:hideMark/>
        </w:tcPr>
        <w:p w14:paraId="54005972" w14:textId="77777777" w:rsidR="00E52CCD" w:rsidRPr="00A16D0B" w:rsidRDefault="00E52CCD" w:rsidP="00E52CCD">
          <w:pPr>
            <w:pStyle w:val="stBilgi"/>
            <w:rPr>
              <w:rFonts w:cs="Times New Roman"/>
              <w:b/>
              <w:sz w:val="24"/>
              <w:szCs w:val="28"/>
            </w:rPr>
          </w:pPr>
        </w:p>
        <w:p w14:paraId="2C74441B" w14:textId="77777777" w:rsidR="00E52CCD" w:rsidRPr="00A16D0B" w:rsidRDefault="00E52CCD" w:rsidP="00E52CCD">
          <w:pPr>
            <w:pStyle w:val="stBilgi"/>
            <w:spacing w:before="120" w:after="120"/>
            <w:jc w:val="center"/>
            <w:rPr>
              <w:rFonts w:cs="Times New Roman"/>
              <w:b/>
              <w:sz w:val="24"/>
              <w:szCs w:val="24"/>
            </w:rPr>
          </w:pPr>
          <w:r w:rsidRPr="00A16D0B">
            <w:rPr>
              <w:rFonts w:cs="Times New Roman"/>
              <w:b/>
              <w:sz w:val="24"/>
              <w:szCs w:val="24"/>
            </w:rPr>
            <w:t>ARDAHAN ÜNİVERSİTESİ</w:t>
          </w:r>
        </w:p>
        <w:p w14:paraId="0365838C" w14:textId="77777777" w:rsidR="00E52CCD" w:rsidRPr="00007BEA" w:rsidRDefault="00E52CCD" w:rsidP="00E52CCD">
          <w:pPr>
            <w:pStyle w:val="stBilgi"/>
            <w:spacing w:before="120" w:after="120"/>
            <w:jc w:val="center"/>
            <w:rPr>
              <w:rFonts w:cs="Times New Roman"/>
              <w:b/>
              <w:sz w:val="24"/>
              <w:szCs w:val="24"/>
            </w:rPr>
          </w:pPr>
          <w:r w:rsidRPr="00007BEA">
            <w:rPr>
              <w:rFonts w:cs="Times New Roman"/>
              <w:b/>
              <w:sz w:val="24"/>
              <w:szCs w:val="24"/>
            </w:rPr>
            <w:t>ÖĞRENCİ İŞLERİ DAİRE BAŞKANLIĞI</w:t>
          </w:r>
        </w:p>
        <w:p w14:paraId="50BFB877" w14:textId="6B1C284F" w:rsidR="00E52CCD" w:rsidRPr="00A16D0B" w:rsidRDefault="00E52CCD" w:rsidP="00E52CCD">
          <w:pPr>
            <w:spacing w:after="40"/>
            <w:jc w:val="center"/>
            <w:rPr>
              <w:rFonts w:ascii="Arial" w:hAnsi="Arial"/>
              <w:sz w:val="20"/>
            </w:rPr>
          </w:pPr>
          <w:r w:rsidRPr="00E52CCD">
            <w:rPr>
              <w:rFonts w:cs="Times New Roman"/>
              <w:b/>
              <w:sz w:val="24"/>
              <w:szCs w:val="24"/>
            </w:rPr>
            <w:t xml:space="preserve">GANO </w:t>
          </w:r>
          <w:r>
            <w:rPr>
              <w:rFonts w:cs="Times New Roman"/>
              <w:b/>
              <w:sz w:val="24"/>
              <w:szCs w:val="24"/>
            </w:rPr>
            <w:t>İ</w:t>
          </w:r>
          <w:r w:rsidRPr="00E52CCD">
            <w:rPr>
              <w:rFonts w:cs="Times New Roman"/>
              <w:b/>
              <w:sz w:val="24"/>
              <w:szCs w:val="24"/>
            </w:rPr>
            <w:t>LE YATAY GEÇ</w:t>
          </w:r>
          <w:r>
            <w:rPr>
              <w:rFonts w:cs="Times New Roman"/>
              <w:b/>
              <w:sz w:val="24"/>
              <w:szCs w:val="24"/>
            </w:rPr>
            <w:t>İ</w:t>
          </w:r>
          <w:r w:rsidRPr="00E52CCD">
            <w:rPr>
              <w:rFonts w:cs="Times New Roman"/>
              <w:b/>
              <w:sz w:val="24"/>
              <w:szCs w:val="24"/>
            </w:rPr>
            <w:t>Ş UYGULAMA REHBER</w:t>
          </w:r>
          <w:r>
            <w:rPr>
              <w:rFonts w:cs="Times New Roman"/>
              <w:b/>
              <w:sz w:val="24"/>
              <w:szCs w:val="24"/>
            </w:rPr>
            <w:t>İ</w:t>
          </w:r>
        </w:p>
      </w:tc>
      <w:tc>
        <w:tcPr>
          <w:tcW w:w="1701" w:type="dxa"/>
          <w:tcBorders>
            <w:top w:val="single" w:sz="6" w:space="0" w:color="000000"/>
            <w:left w:val="single" w:sz="6" w:space="0" w:color="000000"/>
            <w:bottom w:val="single" w:sz="6" w:space="0" w:color="000000"/>
            <w:right w:val="single" w:sz="6" w:space="0" w:color="000000"/>
          </w:tcBorders>
          <w:hideMark/>
        </w:tcPr>
        <w:p w14:paraId="66148006" w14:textId="77777777" w:rsidR="00E52CCD" w:rsidRPr="00A16D0B" w:rsidRDefault="00E52CCD" w:rsidP="00E52CCD">
          <w:pPr>
            <w:pStyle w:val="stBilgi"/>
            <w:rPr>
              <w:rFonts w:cs="Times New Roman"/>
              <w:sz w:val="20"/>
              <w:szCs w:val="20"/>
            </w:rPr>
          </w:pPr>
          <w:r w:rsidRPr="00A16D0B">
            <w:rPr>
              <w:rFonts w:cs="Times New Roman"/>
              <w:sz w:val="20"/>
              <w:szCs w:val="20"/>
            </w:rPr>
            <w:t>Doküman No:</w:t>
          </w:r>
        </w:p>
      </w:tc>
      <w:tc>
        <w:tcPr>
          <w:tcW w:w="1984" w:type="dxa"/>
          <w:tcBorders>
            <w:top w:val="single" w:sz="6" w:space="0" w:color="000000"/>
            <w:left w:val="single" w:sz="6" w:space="0" w:color="000000"/>
            <w:bottom w:val="single" w:sz="6" w:space="0" w:color="000000"/>
            <w:right w:val="single" w:sz="6" w:space="0" w:color="000000"/>
          </w:tcBorders>
          <w:hideMark/>
        </w:tcPr>
        <w:p w14:paraId="3B805B5E" w14:textId="50F626F9" w:rsidR="00E52CCD" w:rsidRPr="00A16D0B" w:rsidRDefault="00E52CCD" w:rsidP="00E52CCD">
          <w:pPr>
            <w:pStyle w:val="stBilgi"/>
            <w:rPr>
              <w:rFonts w:cs="Times New Roman"/>
              <w:sz w:val="20"/>
              <w:szCs w:val="20"/>
            </w:rPr>
          </w:pPr>
          <w:r w:rsidRPr="00A16D0B">
            <w:rPr>
              <w:rFonts w:cs="Times New Roman"/>
              <w:sz w:val="20"/>
              <w:szCs w:val="20"/>
            </w:rPr>
            <w:t>ARÜ.</w:t>
          </w:r>
          <w:r w:rsidRPr="00063638">
            <w:rPr>
              <w:rFonts w:cs="Times New Roman"/>
              <w:sz w:val="20"/>
              <w:szCs w:val="20"/>
            </w:rPr>
            <w:t>ÖİDB.UR</w:t>
          </w:r>
          <w:r w:rsidRPr="00A16D0B">
            <w:rPr>
              <w:rFonts w:cs="Times New Roman"/>
              <w:sz w:val="20"/>
              <w:szCs w:val="20"/>
            </w:rPr>
            <w:t>.0</w:t>
          </w:r>
          <w:r w:rsidR="002C40CB">
            <w:rPr>
              <w:rFonts w:cs="Times New Roman"/>
              <w:sz w:val="20"/>
              <w:szCs w:val="20"/>
            </w:rPr>
            <w:t>05</w:t>
          </w:r>
        </w:p>
      </w:tc>
    </w:tr>
    <w:tr w:rsidR="00E52CCD" w:rsidRPr="00A16D0B" w14:paraId="6A8C511C"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53EA7BE4" w14:textId="77777777" w:rsidR="00E52CCD" w:rsidRPr="00A16D0B" w:rsidRDefault="00E52CCD" w:rsidP="00E52CCD">
          <w:pPr>
            <w:pStyle w:val="stBilgi"/>
            <w:rPr>
              <w:rFonts w:cs="Times New Roman"/>
              <w:sz w:val="24"/>
              <w:szCs w:val="28"/>
            </w:rPr>
          </w:pPr>
        </w:p>
      </w:tc>
      <w:tc>
        <w:tcPr>
          <w:tcW w:w="5433" w:type="dxa"/>
          <w:vMerge/>
          <w:tcBorders>
            <w:left w:val="single" w:sz="6" w:space="0" w:color="000000"/>
            <w:right w:val="single" w:sz="6" w:space="0" w:color="000000"/>
          </w:tcBorders>
          <w:hideMark/>
        </w:tcPr>
        <w:p w14:paraId="659FBDB5" w14:textId="77777777" w:rsidR="00E52CCD" w:rsidRPr="00A16D0B" w:rsidRDefault="00E52CCD" w:rsidP="00E52CCD">
          <w:pPr>
            <w:pStyle w:val="stBilgi"/>
            <w:jc w:val="center"/>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3C3DA777" w14:textId="77777777" w:rsidR="00E52CCD" w:rsidRPr="00A16D0B" w:rsidRDefault="00E52CCD" w:rsidP="00E52CCD">
          <w:pPr>
            <w:pStyle w:val="stBilgi"/>
            <w:rPr>
              <w:rFonts w:cs="Times New Roman"/>
              <w:sz w:val="20"/>
              <w:szCs w:val="20"/>
            </w:rPr>
          </w:pPr>
          <w:r w:rsidRPr="00A16D0B">
            <w:rPr>
              <w:rFonts w:cs="Times New Roman"/>
              <w:sz w:val="20"/>
              <w:szCs w:val="20"/>
            </w:rPr>
            <w:t>İlk Yayın Tarihi:</w:t>
          </w:r>
        </w:p>
      </w:tc>
      <w:tc>
        <w:tcPr>
          <w:tcW w:w="1984" w:type="dxa"/>
          <w:tcBorders>
            <w:top w:val="single" w:sz="6" w:space="0" w:color="000000"/>
            <w:left w:val="single" w:sz="6" w:space="0" w:color="000000"/>
            <w:bottom w:val="single" w:sz="6" w:space="0" w:color="000000"/>
            <w:right w:val="single" w:sz="6" w:space="0" w:color="000000"/>
          </w:tcBorders>
          <w:hideMark/>
        </w:tcPr>
        <w:p w14:paraId="244E4A7D" w14:textId="77777777" w:rsidR="00E52CCD" w:rsidRPr="00A16D0B" w:rsidRDefault="00E52CCD" w:rsidP="00E52CCD">
          <w:pPr>
            <w:pStyle w:val="stBilgi"/>
            <w:rPr>
              <w:rFonts w:cs="Times New Roman"/>
              <w:sz w:val="20"/>
              <w:szCs w:val="20"/>
            </w:rPr>
          </w:pPr>
          <w:r w:rsidRPr="00063638">
            <w:rPr>
              <w:rFonts w:cs="Times New Roman"/>
              <w:sz w:val="20"/>
              <w:szCs w:val="20"/>
            </w:rPr>
            <w:t>2</w:t>
          </w:r>
          <w:r w:rsidRPr="00A16D0B">
            <w:rPr>
              <w:rFonts w:cs="Times New Roman"/>
              <w:sz w:val="20"/>
              <w:szCs w:val="20"/>
            </w:rPr>
            <w:t>3.</w:t>
          </w:r>
          <w:r w:rsidRPr="00063638">
            <w:rPr>
              <w:rFonts w:cs="Times New Roman"/>
              <w:sz w:val="20"/>
              <w:szCs w:val="20"/>
            </w:rPr>
            <w:t>1</w:t>
          </w:r>
          <w:r w:rsidRPr="00A16D0B">
            <w:rPr>
              <w:rFonts w:cs="Times New Roman"/>
              <w:sz w:val="20"/>
              <w:szCs w:val="20"/>
            </w:rPr>
            <w:t>0.2026</w:t>
          </w:r>
        </w:p>
      </w:tc>
    </w:tr>
    <w:tr w:rsidR="00E52CCD" w:rsidRPr="00A16D0B" w14:paraId="032653E1" w14:textId="77777777" w:rsidTr="00216464">
      <w:trPr>
        <w:trHeight w:val="419"/>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241085C0" w14:textId="77777777" w:rsidR="00E52CCD" w:rsidRPr="00A16D0B" w:rsidRDefault="00E52CCD" w:rsidP="00E52CCD">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28E7E3C7" w14:textId="77777777" w:rsidR="00E52CCD" w:rsidRPr="00A16D0B" w:rsidRDefault="00E52CCD" w:rsidP="00E52CCD">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631A18A4" w14:textId="77777777" w:rsidR="00E52CCD" w:rsidRPr="00A16D0B" w:rsidRDefault="00E52CCD" w:rsidP="00E52CCD">
          <w:pPr>
            <w:pStyle w:val="stBilgi"/>
            <w:rPr>
              <w:rFonts w:cs="Times New Roman"/>
              <w:sz w:val="20"/>
              <w:szCs w:val="20"/>
            </w:rPr>
          </w:pPr>
          <w:r w:rsidRPr="00A16D0B">
            <w:rPr>
              <w:rFonts w:cs="Times New Roman"/>
              <w:sz w:val="20"/>
              <w:szCs w:val="20"/>
            </w:rPr>
            <w:t>Revizyon Tarihi:</w:t>
          </w:r>
        </w:p>
      </w:tc>
      <w:tc>
        <w:tcPr>
          <w:tcW w:w="1984" w:type="dxa"/>
          <w:tcBorders>
            <w:top w:val="single" w:sz="6" w:space="0" w:color="000000"/>
            <w:left w:val="single" w:sz="6" w:space="0" w:color="000000"/>
            <w:bottom w:val="single" w:sz="6" w:space="0" w:color="000000"/>
            <w:right w:val="single" w:sz="6" w:space="0" w:color="000000"/>
          </w:tcBorders>
          <w:hideMark/>
        </w:tcPr>
        <w:p w14:paraId="7B303320" w14:textId="77777777" w:rsidR="00E52CCD" w:rsidRPr="00A16D0B" w:rsidRDefault="00E52CCD" w:rsidP="00E52CCD">
          <w:pPr>
            <w:pStyle w:val="stBilgi"/>
            <w:rPr>
              <w:rFonts w:cs="Times New Roman"/>
              <w:sz w:val="20"/>
              <w:szCs w:val="20"/>
            </w:rPr>
          </w:pPr>
          <w:r w:rsidRPr="00A16D0B">
            <w:rPr>
              <w:rFonts w:cs="Times New Roman"/>
              <w:sz w:val="20"/>
              <w:szCs w:val="20"/>
            </w:rPr>
            <w:t>-</w:t>
          </w:r>
        </w:p>
      </w:tc>
    </w:tr>
    <w:tr w:rsidR="00E52CCD" w:rsidRPr="00A16D0B" w14:paraId="35B239A8"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706C9EF3" w14:textId="77777777" w:rsidR="00E52CCD" w:rsidRPr="00A16D0B" w:rsidRDefault="00E52CCD" w:rsidP="00E52CCD">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121AC3AC" w14:textId="77777777" w:rsidR="00E52CCD" w:rsidRPr="00A16D0B" w:rsidRDefault="00E52CCD" w:rsidP="00E52CCD">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27D15D8D" w14:textId="77777777" w:rsidR="00E52CCD" w:rsidRPr="00A16D0B" w:rsidRDefault="00E52CCD" w:rsidP="00E52CCD">
          <w:pPr>
            <w:pStyle w:val="stBilgi"/>
            <w:rPr>
              <w:rFonts w:cs="Times New Roman"/>
              <w:sz w:val="20"/>
              <w:szCs w:val="20"/>
            </w:rPr>
          </w:pPr>
          <w:r w:rsidRPr="00A16D0B">
            <w:rPr>
              <w:rFonts w:cs="Times New Roman"/>
              <w:sz w:val="20"/>
              <w:szCs w:val="20"/>
            </w:rPr>
            <w:t>Revizyon No:</w:t>
          </w:r>
        </w:p>
      </w:tc>
      <w:tc>
        <w:tcPr>
          <w:tcW w:w="1984" w:type="dxa"/>
          <w:tcBorders>
            <w:top w:val="single" w:sz="6" w:space="0" w:color="000000"/>
            <w:left w:val="single" w:sz="6" w:space="0" w:color="000000"/>
            <w:bottom w:val="single" w:sz="6" w:space="0" w:color="000000"/>
            <w:right w:val="single" w:sz="6" w:space="0" w:color="000000"/>
          </w:tcBorders>
          <w:hideMark/>
        </w:tcPr>
        <w:p w14:paraId="25FEA950" w14:textId="77777777" w:rsidR="00E52CCD" w:rsidRPr="00A16D0B" w:rsidRDefault="00E52CCD" w:rsidP="00E52CCD">
          <w:pPr>
            <w:pStyle w:val="stBilgi"/>
            <w:rPr>
              <w:rFonts w:cs="Times New Roman"/>
              <w:sz w:val="20"/>
              <w:szCs w:val="20"/>
            </w:rPr>
          </w:pPr>
          <w:r w:rsidRPr="00A16D0B">
            <w:rPr>
              <w:rFonts w:cs="Times New Roman"/>
              <w:sz w:val="20"/>
              <w:szCs w:val="20"/>
            </w:rPr>
            <w:t>0</w:t>
          </w:r>
        </w:p>
      </w:tc>
    </w:tr>
    <w:tr w:rsidR="00E52CCD" w:rsidRPr="00A16D0B" w14:paraId="596136BE"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115AA279" w14:textId="77777777" w:rsidR="00E52CCD" w:rsidRPr="00A16D0B" w:rsidRDefault="00E52CCD" w:rsidP="00E52CCD">
          <w:pPr>
            <w:pStyle w:val="stBilgi"/>
            <w:rPr>
              <w:rFonts w:cs="Times New Roman"/>
              <w:sz w:val="24"/>
              <w:szCs w:val="28"/>
            </w:rPr>
          </w:pPr>
        </w:p>
      </w:tc>
      <w:tc>
        <w:tcPr>
          <w:tcW w:w="5433" w:type="dxa"/>
          <w:vMerge/>
          <w:tcBorders>
            <w:left w:val="single" w:sz="6" w:space="0" w:color="000000"/>
            <w:bottom w:val="single" w:sz="6" w:space="0" w:color="000000"/>
            <w:right w:val="single" w:sz="6" w:space="0" w:color="000000"/>
          </w:tcBorders>
          <w:vAlign w:val="center"/>
          <w:hideMark/>
        </w:tcPr>
        <w:p w14:paraId="5D17B786" w14:textId="77777777" w:rsidR="00E52CCD" w:rsidRPr="00A16D0B" w:rsidRDefault="00E52CCD" w:rsidP="00E52CCD">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71E87907" w14:textId="77777777" w:rsidR="00E52CCD" w:rsidRPr="00A16D0B" w:rsidRDefault="00E52CCD" w:rsidP="00E52CCD">
          <w:pPr>
            <w:pStyle w:val="stBilgi"/>
            <w:rPr>
              <w:rFonts w:cs="Times New Roman"/>
              <w:sz w:val="20"/>
              <w:szCs w:val="20"/>
            </w:rPr>
          </w:pPr>
          <w:r w:rsidRPr="00A16D0B">
            <w:rPr>
              <w:rFonts w:cs="Times New Roman"/>
              <w:sz w:val="20"/>
              <w:szCs w:val="20"/>
            </w:rPr>
            <w:t>Sayfa:</w:t>
          </w:r>
        </w:p>
      </w:tc>
      <w:tc>
        <w:tcPr>
          <w:tcW w:w="1984" w:type="dxa"/>
          <w:tcBorders>
            <w:top w:val="single" w:sz="6" w:space="0" w:color="000000"/>
            <w:left w:val="single" w:sz="6" w:space="0" w:color="000000"/>
            <w:bottom w:val="single" w:sz="6" w:space="0" w:color="000000"/>
            <w:right w:val="single" w:sz="6" w:space="0" w:color="000000"/>
          </w:tcBorders>
          <w:hideMark/>
        </w:tcPr>
        <w:p w14:paraId="7E77EA37" w14:textId="59E26F62" w:rsidR="00E52CCD" w:rsidRPr="00A16D0B" w:rsidRDefault="00E52CCD" w:rsidP="00E52CCD">
          <w:pPr>
            <w:pStyle w:val="stBilgi"/>
            <w:rPr>
              <w:rFonts w:cs="Times New Roman"/>
              <w:sz w:val="20"/>
              <w:szCs w:val="20"/>
            </w:rPr>
          </w:pPr>
          <w:r w:rsidRPr="00063638">
            <w:rPr>
              <w:rFonts w:cs="Times New Roman"/>
              <w:sz w:val="20"/>
              <w:szCs w:val="20"/>
            </w:rPr>
            <w:fldChar w:fldCharType="begin"/>
          </w:r>
          <w:r w:rsidRPr="00063638">
            <w:rPr>
              <w:rFonts w:cs="Times New Roman"/>
              <w:sz w:val="20"/>
              <w:szCs w:val="20"/>
            </w:rPr>
            <w:instrText xml:space="preserve"> PAGE   \* MERGEFORMAT </w:instrText>
          </w:r>
          <w:r w:rsidRPr="00063638">
            <w:rPr>
              <w:rFonts w:cs="Times New Roman"/>
              <w:sz w:val="20"/>
              <w:szCs w:val="20"/>
            </w:rPr>
            <w:fldChar w:fldCharType="separate"/>
          </w:r>
          <w:r w:rsidRPr="00063638">
            <w:rPr>
              <w:rFonts w:cs="Times New Roman"/>
              <w:noProof/>
              <w:sz w:val="20"/>
              <w:szCs w:val="20"/>
            </w:rPr>
            <w:t>1</w:t>
          </w:r>
          <w:r w:rsidRPr="00063638">
            <w:rPr>
              <w:rFonts w:cs="Times New Roman"/>
              <w:sz w:val="20"/>
              <w:szCs w:val="20"/>
            </w:rPr>
            <w:fldChar w:fldCharType="end"/>
          </w:r>
          <w:r w:rsidRPr="00A16D0B">
            <w:rPr>
              <w:rFonts w:cs="Times New Roman"/>
              <w:sz w:val="20"/>
              <w:szCs w:val="20"/>
            </w:rPr>
            <w:t>/</w:t>
          </w:r>
          <w:r>
            <w:rPr>
              <w:rFonts w:cs="Times New Roman"/>
              <w:sz w:val="20"/>
              <w:szCs w:val="20"/>
            </w:rPr>
            <w:t>3</w:t>
          </w:r>
        </w:p>
      </w:tc>
    </w:tr>
  </w:tbl>
  <w:p w14:paraId="40474757" w14:textId="77777777" w:rsidR="00E52CCD" w:rsidRDefault="00E52CC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A19A" w14:textId="77777777" w:rsidR="002C40CB" w:rsidRDefault="002C40C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6096356">
    <w:abstractNumId w:val="8"/>
  </w:num>
  <w:num w:numId="2" w16cid:durableId="1085809014">
    <w:abstractNumId w:val="6"/>
  </w:num>
  <w:num w:numId="3" w16cid:durableId="1036468925">
    <w:abstractNumId w:val="5"/>
  </w:num>
  <w:num w:numId="4" w16cid:durableId="248737123">
    <w:abstractNumId w:val="4"/>
  </w:num>
  <w:num w:numId="5" w16cid:durableId="275134807">
    <w:abstractNumId w:val="7"/>
  </w:num>
  <w:num w:numId="6" w16cid:durableId="1662197617">
    <w:abstractNumId w:val="3"/>
  </w:num>
  <w:num w:numId="7" w16cid:durableId="1756396042">
    <w:abstractNumId w:val="2"/>
  </w:num>
  <w:num w:numId="8" w16cid:durableId="2075007432">
    <w:abstractNumId w:val="1"/>
  </w:num>
  <w:num w:numId="9" w16cid:durableId="751195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894"/>
    <w:rsid w:val="0029639D"/>
    <w:rsid w:val="002A34A0"/>
    <w:rsid w:val="002C40CB"/>
    <w:rsid w:val="00326F90"/>
    <w:rsid w:val="00352E1B"/>
    <w:rsid w:val="005067C8"/>
    <w:rsid w:val="00746E7E"/>
    <w:rsid w:val="008C06CF"/>
    <w:rsid w:val="00AA1D8D"/>
    <w:rsid w:val="00AA5CE1"/>
    <w:rsid w:val="00B07C6A"/>
    <w:rsid w:val="00B30848"/>
    <w:rsid w:val="00B47730"/>
    <w:rsid w:val="00B62D36"/>
    <w:rsid w:val="00CB0664"/>
    <w:rsid w:val="00E52C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B131E"/>
  <w14:defaultImageDpi w14:val="300"/>
  <w15:docId w15:val="{05FD95EB-55B7-6244-B086-F4186302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Times New Roman" w:hAnsi="Times New Roman"/>
      <w:color w:val="000000"/>
    </w:rPr>
  </w:style>
  <w:style w:type="paragraph" w:styleId="Balk1">
    <w:name w:val="heading 1"/>
    <w:basedOn w:val="Normal"/>
    <w:next w:val="Normal"/>
    <w:link w:val="Balk1Char"/>
    <w:uiPriority w:val="9"/>
    <w:qFormat/>
    <w:rsid w:val="00FC693F"/>
    <w:pPr>
      <w:keepNext/>
      <w:keepLines/>
      <w:spacing w:before="180"/>
      <w:outlineLvl w:val="0"/>
    </w:pPr>
    <w:rPr>
      <w:rFonts w:asciiTheme="majorHAnsi" w:eastAsiaTheme="majorEastAsia" w:hAnsiTheme="majorHAnsi" w:cstheme="majorBidi"/>
      <w:b/>
      <w:bCs/>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contextualSpacing/>
    </w:pPr>
    <w:rPr>
      <w:rFonts w:asciiTheme="majorHAnsi" w:eastAsiaTheme="majorEastAsia" w:hAnsiTheme="majorHAnsi" w:cstheme="majorBidi"/>
      <w:b/>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1109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Yatay Geçiş Uygulama Rehberi</dc:title>
  <dc:subject/>
  <dc:creator>Şeyda İşler</dc:creator>
  <cp:keywords/>
  <dc:description>generated by python-docx</dc:description>
  <cp:lastModifiedBy>Windows</cp:lastModifiedBy>
  <cp:revision>4</cp:revision>
  <dcterms:created xsi:type="dcterms:W3CDTF">2026-10-21T08:29:00Z</dcterms:created>
  <dcterms:modified xsi:type="dcterms:W3CDTF">2026-10-23T07:32:00Z</dcterms:modified>
  <cp:category/>
</cp:coreProperties>
</file>